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7A9E8A38"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008B7EA8">
        <w:rPr>
          <w:rFonts w:ascii="Arial" w:hAnsi="Arial" w:cs="Arial"/>
          <w:b/>
          <w:sz w:val="24"/>
        </w:rPr>
        <w:t>b</w:t>
      </w:r>
      <w:r w:rsidRPr="00DA12F7">
        <w:rPr>
          <w:rFonts w:ascii="Arial" w:hAnsi="Arial" w:cs="Arial"/>
          <w:b/>
          <w:sz w:val="24"/>
        </w:rPr>
        <w:tab/>
      </w:r>
      <w:r w:rsidR="00127431" w:rsidRPr="00127431">
        <w:rPr>
          <w:rFonts w:ascii="Arial" w:hAnsi="Arial" w:cs="Arial"/>
          <w:b/>
          <w:sz w:val="24"/>
        </w:rPr>
        <w:t>R1-</w:t>
      </w:r>
      <w:r w:rsidR="00153DB4" w:rsidRPr="00153DB4">
        <w:t xml:space="preserve"> </w:t>
      </w:r>
      <w:r w:rsidR="00153DB4" w:rsidRPr="00153DB4">
        <w:rPr>
          <w:rFonts w:ascii="Arial" w:hAnsi="Arial" w:cs="Arial"/>
          <w:b/>
          <w:sz w:val="24"/>
        </w:rPr>
        <w:t>180</w:t>
      </w:r>
      <w:r w:rsidR="00F65F87">
        <w:rPr>
          <w:rFonts w:ascii="Arial" w:hAnsi="Arial" w:cs="Arial"/>
          <w:b/>
          <w:sz w:val="24"/>
        </w:rPr>
        <w:t>5271</w:t>
      </w:r>
      <w:bookmarkStart w:id="0" w:name="_GoBack"/>
      <w:bookmarkEnd w:id="0"/>
    </w:p>
    <w:p w14:paraId="50FFBAF8" w14:textId="1962AF50" w:rsidR="00116B51" w:rsidRPr="00DA12F7" w:rsidRDefault="008B7EA8"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Pr>
          <w:rFonts w:ascii="Arial" w:hAnsi="Arial" w:cs="Arial"/>
          <w:b/>
          <w:sz w:val="24"/>
          <w:szCs w:val="24"/>
        </w:rPr>
        <w:t>1</w:t>
      </w:r>
      <w:r w:rsidR="00A90273">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sidR="00A90273">
        <w:rPr>
          <w:rFonts w:ascii="Arial" w:hAnsi="Arial" w:cs="Arial"/>
          <w:b/>
          <w:sz w:val="24"/>
          <w:szCs w:val="24"/>
        </w:rPr>
        <w:t>2</w:t>
      </w:r>
      <w:r>
        <w:rPr>
          <w:rFonts w:ascii="Arial" w:hAnsi="Arial" w:cs="Arial"/>
          <w:b/>
          <w:sz w:val="24"/>
          <w:szCs w:val="24"/>
        </w:rPr>
        <w:t>0</w:t>
      </w:r>
      <w:r>
        <w:rPr>
          <w:rFonts w:ascii="Arial" w:hAnsi="Arial" w:cs="Arial"/>
          <w:b/>
          <w:sz w:val="24"/>
          <w:szCs w:val="24"/>
          <w:vertAlign w:val="superscript"/>
        </w:rPr>
        <w:t>th</w:t>
      </w:r>
      <w:r w:rsidR="00116B51" w:rsidRPr="00DA12F7">
        <w:rPr>
          <w:rFonts w:ascii="Arial" w:hAnsi="Arial" w:cs="Arial"/>
          <w:b/>
          <w:sz w:val="24"/>
          <w:szCs w:val="24"/>
        </w:rPr>
        <w:t>, 201</w:t>
      </w:r>
      <w:r w:rsidR="00A90273">
        <w:rPr>
          <w:rFonts w:ascii="Arial" w:hAnsi="Arial" w:cs="Arial"/>
          <w:b/>
          <w:sz w:val="24"/>
          <w:szCs w:val="24"/>
        </w:rPr>
        <w:t>8</w:t>
      </w:r>
    </w:p>
    <w:p w14:paraId="7DB4A2F8" w14:textId="11B1901E" w:rsidR="00116B51" w:rsidRPr="00DA12F7" w:rsidRDefault="008B7EA8" w:rsidP="00116B51">
      <w:pPr>
        <w:rPr>
          <w:rFonts w:ascii="Arial" w:hAnsi="Arial" w:cs="Arial"/>
          <w:b/>
          <w:sz w:val="24"/>
          <w:szCs w:val="24"/>
        </w:rPr>
      </w:pPr>
      <w:r>
        <w:rPr>
          <w:rFonts w:ascii="Arial" w:hAnsi="Arial" w:cs="Arial"/>
          <w:b/>
          <w:sz w:val="24"/>
          <w:szCs w:val="24"/>
        </w:rPr>
        <w:t>Sanya, P. R.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36FCAB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834182">
        <w:rPr>
          <w:rFonts w:ascii="Arial" w:hAnsi="Arial"/>
          <w:sz w:val="24"/>
        </w:rPr>
        <w:t>6</w:t>
      </w:r>
      <w:r w:rsidR="001720D7">
        <w:rPr>
          <w:rFonts w:ascii="Arial" w:hAnsi="Arial"/>
          <w:sz w:val="24"/>
        </w:rPr>
        <w:t>.2.</w:t>
      </w:r>
      <w:r w:rsidR="008B7EA8">
        <w:rPr>
          <w:rFonts w:ascii="Arial" w:hAnsi="Arial"/>
          <w:sz w:val="24"/>
        </w:rPr>
        <w:t>8</w:t>
      </w:r>
      <w:r w:rsidR="000E38F6">
        <w:rPr>
          <w:rFonts w:ascii="Arial" w:hAnsi="Arial"/>
          <w:sz w:val="24"/>
        </w:rPr>
        <w:t>.</w:t>
      </w:r>
      <w:r w:rsidR="008C0B3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6E58190"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C0B38">
        <w:rPr>
          <w:rFonts w:ascii="Arial" w:hAnsi="Arial"/>
          <w:sz w:val="24"/>
        </w:rPr>
        <w:t>Downlink Enhancements for URLLC</w:t>
      </w:r>
      <w:r w:rsidR="003B3A49" w:rsidRPr="003B3A49">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05CD4124" w14:textId="3A7B652A" w:rsidR="00B73C28" w:rsidRDefault="00CE09E6" w:rsidP="008B7EA8">
      <w:pPr>
        <w:jc w:val="both"/>
      </w:pPr>
      <w:r>
        <w:t>Based on the decisions made in RAN1#92 and RAN-P#79, only the following solution will be considered for improving PDSCH performance as the first priority until June:</w:t>
      </w:r>
    </w:p>
    <w:p w14:paraId="4F44AFEE" w14:textId="77777777" w:rsidR="009205AE" w:rsidRPr="00CE09E6" w:rsidRDefault="001405C3" w:rsidP="00CE09E6">
      <w:pPr>
        <w:jc w:val="both"/>
        <w:rPr>
          <w:b/>
          <w:bCs/>
          <w:u w:val="single"/>
        </w:rPr>
      </w:pPr>
      <w:r w:rsidRPr="00CE09E6">
        <w:rPr>
          <w:b/>
          <w:bCs/>
          <w:highlight w:val="green"/>
          <w:u w:val="single"/>
          <w:lang w:val="en-GB"/>
        </w:rPr>
        <w:t>Agreement:</w:t>
      </w:r>
    </w:p>
    <w:p w14:paraId="191E2D2F" w14:textId="77777777" w:rsidR="009205AE" w:rsidRPr="00CE09E6" w:rsidRDefault="001405C3" w:rsidP="00CE09E6">
      <w:pPr>
        <w:numPr>
          <w:ilvl w:val="0"/>
          <w:numId w:val="3"/>
        </w:numPr>
        <w:jc w:val="both"/>
        <w:rPr>
          <w:i/>
          <w:iCs/>
        </w:rPr>
      </w:pPr>
      <w:r w:rsidRPr="00CE09E6">
        <w:rPr>
          <w:i/>
          <w:iCs/>
          <w:lang w:val="en-GB"/>
        </w:rPr>
        <w:t xml:space="preserve">One or more of the following solutions for DL data are needed for URLLC operation </w:t>
      </w:r>
    </w:p>
    <w:p w14:paraId="35B810E2" w14:textId="77777777" w:rsidR="009205AE" w:rsidRPr="00CE09E6" w:rsidRDefault="001405C3" w:rsidP="00CE09E6">
      <w:pPr>
        <w:numPr>
          <w:ilvl w:val="0"/>
          <w:numId w:val="3"/>
        </w:numPr>
        <w:jc w:val="both"/>
        <w:rPr>
          <w:i/>
          <w:iCs/>
        </w:rPr>
      </w:pPr>
      <w:r w:rsidRPr="00CE09E6">
        <w:rPr>
          <w:i/>
          <w:iCs/>
        </w:rPr>
        <w:t>blind/HARQ-less PDSCH repetition in different TTIs</w:t>
      </w:r>
    </w:p>
    <w:p w14:paraId="716C7967" w14:textId="77777777" w:rsidR="009205AE" w:rsidRPr="00CE09E6" w:rsidRDefault="001405C3" w:rsidP="00CE09E6">
      <w:pPr>
        <w:numPr>
          <w:ilvl w:val="1"/>
          <w:numId w:val="3"/>
        </w:numPr>
        <w:jc w:val="both"/>
        <w:rPr>
          <w:i/>
          <w:iCs/>
        </w:rPr>
      </w:pPr>
      <w:r w:rsidRPr="00CE09E6">
        <w:rPr>
          <w:i/>
          <w:iCs/>
        </w:rPr>
        <w:t>Consider the following variants</w:t>
      </w:r>
    </w:p>
    <w:p w14:paraId="697A534F" w14:textId="77777777" w:rsidR="009205AE" w:rsidRPr="00CE09E6" w:rsidRDefault="001405C3" w:rsidP="00CE09E6">
      <w:pPr>
        <w:numPr>
          <w:ilvl w:val="2"/>
          <w:numId w:val="3"/>
        </w:numPr>
        <w:jc w:val="both"/>
        <w:rPr>
          <w:i/>
          <w:iCs/>
        </w:rPr>
      </w:pPr>
      <w:r w:rsidRPr="00CE09E6">
        <w:rPr>
          <w:i/>
          <w:iCs/>
        </w:rPr>
        <w:t>Variant 1: dynamic indication of the PDSCH repetition factor in DCI</w:t>
      </w:r>
    </w:p>
    <w:p w14:paraId="14DAF750" w14:textId="77777777" w:rsidR="009205AE" w:rsidRPr="00CE09E6" w:rsidRDefault="001405C3" w:rsidP="00CE09E6">
      <w:pPr>
        <w:numPr>
          <w:ilvl w:val="2"/>
          <w:numId w:val="3"/>
        </w:numPr>
        <w:jc w:val="both"/>
        <w:rPr>
          <w:i/>
          <w:iCs/>
        </w:rPr>
      </w:pPr>
      <w:r w:rsidRPr="00CE09E6">
        <w:rPr>
          <w:i/>
          <w:iCs/>
        </w:rPr>
        <w:t>Variant 2: semi-static configuration of the PDSCH repetition factor over RRC</w:t>
      </w:r>
    </w:p>
    <w:p w14:paraId="2F4E63F9" w14:textId="77777777" w:rsidR="009205AE" w:rsidRPr="00CE09E6" w:rsidRDefault="001405C3" w:rsidP="00CE09E6">
      <w:pPr>
        <w:numPr>
          <w:ilvl w:val="2"/>
          <w:numId w:val="3"/>
        </w:numPr>
        <w:jc w:val="both"/>
        <w:rPr>
          <w:i/>
          <w:iCs/>
        </w:rPr>
      </w:pPr>
      <w:r w:rsidRPr="00CE09E6">
        <w:rPr>
          <w:i/>
          <w:iCs/>
        </w:rPr>
        <w:t>Variant 3: independent PDSCH assignment for each PDSCH transmission</w:t>
      </w:r>
    </w:p>
    <w:p w14:paraId="6D5E0BDD" w14:textId="77777777" w:rsidR="009205AE" w:rsidRPr="00CE09E6" w:rsidRDefault="001405C3" w:rsidP="00CE09E6">
      <w:pPr>
        <w:numPr>
          <w:ilvl w:val="2"/>
          <w:numId w:val="3"/>
        </w:numPr>
        <w:jc w:val="both"/>
        <w:rPr>
          <w:i/>
          <w:iCs/>
        </w:rPr>
      </w:pPr>
      <w:r w:rsidRPr="00CE09E6">
        <w:rPr>
          <w:i/>
          <w:iCs/>
        </w:rPr>
        <w:t>Variant 4: combination of semi-static and dynamic indication (combination of variants 1 and 2)</w:t>
      </w:r>
    </w:p>
    <w:p w14:paraId="4BFA1745" w14:textId="77777777" w:rsidR="009205AE" w:rsidRPr="00CE09E6" w:rsidRDefault="001405C3" w:rsidP="00CE09E6">
      <w:pPr>
        <w:numPr>
          <w:ilvl w:val="1"/>
          <w:numId w:val="3"/>
        </w:numPr>
        <w:jc w:val="both"/>
        <w:rPr>
          <w:i/>
          <w:iCs/>
        </w:rPr>
      </w:pPr>
      <w:r w:rsidRPr="00CE09E6">
        <w:rPr>
          <w:i/>
          <w:iCs/>
        </w:rPr>
        <w:t xml:space="preserve">Study if and how PDSCH repetition can be combined with TTI level FH. </w:t>
      </w:r>
    </w:p>
    <w:p w14:paraId="15A4F9BC" w14:textId="25C22540" w:rsidR="00CE09E6" w:rsidRDefault="00CE09E6" w:rsidP="008B7EA8">
      <w:pPr>
        <w:jc w:val="both"/>
      </w:pPr>
      <w:r>
        <w:t>In this paper, we provide some details on how the repetition-based PDSCH transmission can be implemented.</w:t>
      </w:r>
    </w:p>
    <w:p w14:paraId="241BD474" w14:textId="39D549AA" w:rsidR="00167A3F" w:rsidRDefault="00167A3F" w:rsidP="008B7EA8">
      <w:pPr>
        <w:jc w:val="both"/>
      </w:pPr>
    </w:p>
    <w:p w14:paraId="31903064" w14:textId="4EE0BC2C" w:rsidR="00167A3F" w:rsidRDefault="00167A3F" w:rsidP="00167A3F">
      <w:pPr>
        <w:pStyle w:val="Heading1"/>
        <w:jc w:val="both"/>
      </w:pPr>
      <w:r w:rsidRPr="00CC27F5">
        <w:t>2</w:t>
      </w:r>
      <w:r w:rsidRPr="00CC27F5">
        <w:tab/>
      </w:r>
      <w:r>
        <w:t xml:space="preserve">Simulation Results </w:t>
      </w:r>
    </w:p>
    <w:p w14:paraId="41B5E533" w14:textId="7001F795" w:rsidR="009529D2" w:rsidRDefault="00167A3F" w:rsidP="00096B35">
      <w:pPr>
        <w:jc w:val="both"/>
      </w:pPr>
      <w:r>
        <w:t>Before discussing the possible design principles, in this section, we first present some link-level simulation results to illustrate the need for repetition in order to achieve the URLLC BLER target of 1e-5 within the latency bound of 1ms. It should be noted that, to achieve the abovementioned targets, the current sTTI layout/duration and processing timeline do not allow for gaining from HARQ-based re-transmissions to improve system capacity. Howe</w:t>
      </w:r>
      <w:r w:rsidR="009529D2">
        <w:t>ver, for use cases that are less delay sensitive, repetition-based transmission is not the preferable approach.</w:t>
      </w:r>
    </w:p>
    <w:p w14:paraId="1683FA94" w14:textId="2D57D8F0" w:rsidR="008E757D" w:rsidRDefault="008E757D" w:rsidP="00096B35">
      <w:pPr>
        <w:jc w:val="both"/>
      </w:pPr>
      <w:r>
        <w:t>To illustrate the need for repetition, the following two cases with repetition factor K = 1 and 2 are considered:</w:t>
      </w:r>
    </w:p>
    <w:p w14:paraId="1E2A4A27" w14:textId="379263BA" w:rsidR="008E757D" w:rsidRDefault="003A6EF5" w:rsidP="008E757D">
      <w:pPr>
        <w:pStyle w:val="ListParagraph"/>
        <w:numPr>
          <w:ilvl w:val="0"/>
          <w:numId w:val="4"/>
        </w:numPr>
        <w:jc w:val="both"/>
        <w:rPr>
          <w:sz w:val="20"/>
          <w:szCs w:val="20"/>
        </w:rPr>
      </w:pPr>
      <w:r>
        <w:rPr>
          <w:sz w:val="20"/>
          <w:szCs w:val="20"/>
        </w:rPr>
        <w:t>A 32</w:t>
      </w:r>
      <w:r w:rsidR="008E757D" w:rsidRPr="008E757D">
        <w:rPr>
          <w:sz w:val="20"/>
          <w:szCs w:val="20"/>
        </w:rPr>
        <w:t xml:space="preserve">-byte packet transmitted over a 2-symbol mini-slot and 54RBs (i.e., code rate ~ 0.1) with TM2. </w:t>
      </w:r>
    </w:p>
    <w:p w14:paraId="31B5EF4B" w14:textId="1DA811C5" w:rsidR="008E757D" w:rsidRDefault="003A6EF5" w:rsidP="008E757D">
      <w:pPr>
        <w:pStyle w:val="ListParagraph"/>
        <w:numPr>
          <w:ilvl w:val="0"/>
          <w:numId w:val="4"/>
        </w:numPr>
        <w:jc w:val="both"/>
        <w:rPr>
          <w:sz w:val="20"/>
          <w:szCs w:val="20"/>
        </w:rPr>
      </w:pPr>
      <w:r>
        <w:rPr>
          <w:sz w:val="20"/>
          <w:szCs w:val="20"/>
        </w:rPr>
        <w:t>A 32</w:t>
      </w:r>
      <w:r w:rsidR="008E757D" w:rsidRPr="008E757D">
        <w:rPr>
          <w:sz w:val="20"/>
          <w:szCs w:val="20"/>
        </w:rPr>
        <w:t xml:space="preserve">-byte packet transmitted over a 2-symbol mini-slot and </w:t>
      </w:r>
      <w:r w:rsidR="008E757D">
        <w:rPr>
          <w:sz w:val="20"/>
          <w:szCs w:val="20"/>
        </w:rPr>
        <w:t>25</w:t>
      </w:r>
      <w:r w:rsidR="008E757D" w:rsidRPr="008E757D">
        <w:rPr>
          <w:sz w:val="20"/>
          <w:szCs w:val="20"/>
        </w:rPr>
        <w:t>RBs (i.e., code rate ~ 0.</w:t>
      </w:r>
      <w:r w:rsidR="008E757D">
        <w:rPr>
          <w:sz w:val="20"/>
          <w:szCs w:val="20"/>
        </w:rPr>
        <w:t>2</w:t>
      </w:r>
      <w:r w:rsidR="008E757D" w:rsidRPr="008E757D">
        <w:rPr>
          <w:sz w:val="20"/>
          <w:szCs w:val="20"/>
        </w:rPr>
        <w:t xml:space="preserve">) with TM2. </w:t>
      </w:r>
    </w:p>
    <w:p w14:paraId="3F3637D1" w14:textId="77777777" w:rsidR="008E757D" w:rsidRPr="008E757D" w:rsidRDefault="008E757D" w:rsidP="008E757D">
      <w:pPr>
        <w:pStyle w:val="ListParagraph"/>
        <w:jc w:val="both"/>
        <w:rPr>
          <w:sz w:val="20"/>
          <w:szCs w:val="20"/>
        </w:rPr>
      </w:pPr>
    </w:p>
    <w:p w14:paraId="33262584" w14:textId="281ACA8F" w:rsidR="008E757D" w:rsidRPr="008E757D" w:rsidRDefault="008E757D" w:rsidP="008E757D">
      <w:pPr>
        <w:jc w:val="both"/>
      </w:pPr>
      <w:r>
        <w:t>In both cases, a 2x2 MIMO system, and channel model of TDL-C with delay spread of 393ns is considered.</w:t>
      </w:r>
    </w:p>
    <w:p w14:paraId="5412041C" w14:textId="771BC1E9" w:rsidR="008E757D" w:rsidRDefault="004C1C6E" w:rsidP="008E757D">
      <w:pPr>
        <w:keepNext/>
        <w:jc w:val="center"/>
      </w:pPr>
      <w:r w:rsidRPr="004C1C6E">
        <w:rPr>
          <w:noProof/>
        </w:rPr>
        <w:lastRenderedPageBreak/>
        <w:drawing>
          <wp:inline distT="0" distB="0" distL="0" distR="0" wp14:anchorId="6A127993" wp14:editId="0D0FF3DA">
            <wp:extent cx="4766736" cy="40427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0159" cy="4045632"/>
                    </a:xfrm>
                    <a:prstGeom prst="rect">
                      <a:avLst/>
                    </a:prstGeom>
                    <a:noFill/>
                    <a:ln>
                      <a:noFill/>
                    </a:ln>
                  </pic:spPr>
                </pic:pic>
              </a:graphicData>
            </a:graphic>
          </wp:inline>
        </w:drawing>
      </w:r>
    </w:p>
    <w:p w14:paraId="039D481F" w14:textId="0C2715B4" w:rsidR="00167A3F" w:rsidRPr="00167A3F" w:rsidRDefault="008E757D" w:rsidP="008E757D">
      <w:pPr>
        <w:pStyle w:val="Caption"/>
      </w:pPr>
      <w:r>
        <w:t xml:space="preserve">Figure </w:t>
      </w:r>
      <w:fldSimple w:instr=" SEQ Figure \* ARABIC ">
        <w:r>
          <w:rPr>
            <w:noProof/>
          </w:rPr>
          <w:t>1</w:t>
        </w:r>
      </w:fldSimple>
      <w:r>
        <w:t>: K = 1 and 2 for MCS0</w:t>
      </w:r>
    </w:p>
    <w:p w14:paraId="4677D06E" w14:textId="53AEFFC8" w:rsidR="00167A3F" w:rsidRDefault="00167A3F" w:rsidP="00096B35">
      <w:pPr>
        <w:jc w:val="both"/>
      </w:pPr>
    </w:p>
    <w:p w14:paraId="6D199534" w14:textId="24C62920" w:rsidR="008E757D" w:rsidRDefault="00B42F99" w:rsidP="008E757D">
      <w:pPr>
        <w:keepNext/>
        <w:jc w:val="center"/>
      </w:pPr>
      <w:r w:rsidRPr="00B42F99">
        <w:rPr>
          <w:noProof/>
        </w:rPr>
        <w:lastRenderedPageBreak/>
        <w:drawing>
          <wp:inline distT="0" distB="0" distL="0" distR="0" wp14:anchorId="3DACD606" wp14:editId="4FC7A741">
            <wp:extent cx="4707762" cy="39843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5247" cy="3990639"/>
                    </a:xfrm>
                    <a:prstGeom prst="rect">
                      <a:avLst/>
                    </a:prstGeom>
                    <a:noFill/>
                    <a:ln>
                      <a:noFill/>
                    </a:ln>
                  </pic:spPr>
                </pic:pic>
              </a:graphicData>
            </a:graphic>
          </wp:inline>
        </w:drawing>
      </w:r>
    </w:p>
    <w:p w14:paraId="52613898" w14:textId="77777777" w:rsidR="003A6EF5" w:rsidRDefault="003A6EF5" w:rsidP="008E757D">
      <w:pPr>
        <w:keepNext/>
        <w:jc w:val="center"/>
      </w:pPr>
    </w:p>
    <w:p w14:paraId="7B978527" w14:textId="2F5C4715" w:rsidR="008E757D" w:rsidRDefault="008E757D" w:rsidP="008E757D">
      <w:pPr>
        <w:pStyle w:val="Caption"/>
      </w:pPr>
      <w:r>
        <w:t xml:space="preserve">Figure </w:t>
      </w:r>
      <w:fldSimple w:instr=" SEQ Figure \* ARABIC ">
        <w:r>
          <w:rPr>
            <w:noProof/>
          </w:rPr>
          <w:t>2</w:t>
        </w:r>
      </w:fldSimple>
      <w:r>
        <w:t>: K = 1 and 2 for MCS3</w:t>
      </w:r>
    </w:p>
    <w:p w14:paraId="021FB019" w14:textId="4E4A7C46" w:rsidR="008E757D" w:rsidRDefault="008E757D" w:rsidP="008E757D">
      <w:r>
        <w:t>As shown in the figures above, in both cases, K = 1 is not sufficient to achieve the reliability of 1e-5. When the code rate is about 0.1, then with one additional repetition, the reliability requirement can be met. However, at a higher MCS index, even K = 2 is not sufficient; more repetitions are needed.</w:t>
      </w:r>
    </w:p>
    <w:p w14:paraId="1A8E740E" w14:textId="405C2A16" w:rsidR="00BC091F" w:rsidRPr="00BC091F" w:rsidRDefault="00BC091F" w:rsidP="008E757D">
      <w:pPr>
        <w:rPr>
          <w:b/>
          <w:bCs/>
        </w:rPr>
      </w:pPr>
      <w:r w:rsidRPr="00BC091F">
        <w:rPr>
          <w:b/>
          <w:bCs/>
        </w:rPr>
        <w:t>Observation 1: Even for MCS0, repetition is needed to meet the reliability requirement of LTE URLLC within the 1ms latency bound.</w:t>
      </w:r>
    </w:p>
    <w:p w14:paraId="6714594E" w14:textId="3AC7491B" w:rsidR="00816432" w:rsidRDefault="00491EEE" w:rsidP="00096B35">
      <w:pPr>
        <w:pStyle w:val="Heading1"/>
        <w:jc w:val="both"/>
      </w:pPr>
      <w:r w:rsidRPr="00CC27F5">
        <w:t>2</w:t>
      </w:r>
      <w:r w:rsidRPr="00CC27F5">
        <w:tab/>
      </w:r>
      <w:bookmarkStart w:id="3" w:name="p3"/>
      <w:bookmarkStart w:id="4" w:name="b"/>
      <w:r w:rsidR="00CE09E6">
        <w:t xml:space="preserve">Indication of Repetition Factor </w:t>
      </w:r>
    </w:p>
    <w:bookmarkEnd w:id="3"/>
    <w:bookmarkEnd w:id="4"/>
    <w:p w14:paraId="6383231F" w14:textId="4CFC8822" w:rsidR="00E27D4A" w:rsidRDefault="00167A3F" w:rsidP="00096B35">
      <w:pPr>
        <w:jc w:val="both"/>
      </w:pPr>
      <w:r w:rsidRPr="00167A3F">
        <w:t xml:space="preserve">In the DL, there are two dimensions that can be explored by the eNB to improve the PDSCH reliability: (1) assigning more RBs to a TB to reduce the coding rate, and (2) </w:t>
      </w:r>
      <w:r w:rsidR="00677D45">
        <w:t xml:space="preserve">re-transmitting the same TB over different TTIs without relying on HARQ-ACK feedback. </w:t>
      </w:r>
      <w:r w:rsidRPr="00167A3F">
        <w:t xml:space="preserve"> </w:t>
      </w:r>
      <w:r w:rsidR="00351CBC">
        <w:t xml:space="preserve">Hence, to enable the eNB to make the best decision in each given scenario, </w:t>
      </w:r>
      <w:r w:rsidR="001D633C">
        <w:t>it is preferable to indicate the repetition factor, i.e., the number of times a TB is transmitted, dynamically via (s)DCI.</w:t>
      </w:r>
    </w:p>
    <w:p w14:paraId="0EFF7086" w14:textId="4599098A" w:rsidR="001D633C" w:rsidRPr="001D633C" w:rsidRDefault="001D633C" w:rsidP="00096B35">
      <w:pPr>
        <w:jc w:val="both"/>
        <w:rPr>
          <w:b/>
          <w:bCs/>
        </w:rPr>
      </w:pPr>
      <w:r w:rsidRPr="001D633C">
        <w:rPr>
          <w:b/>
          <w:bCs/>
        </w:rPr>
        <w:t>Proposal 1: For DL URLLC, the repetition factor can be indicated dynamically via (s)DCI.</w:t>
      </w:r>
    </w:p>
    <w:p w14:paraId="4331AB3B" w14:textId="32F4A58C" w:rsidR="00CE09E6" w:rsidRDefault="00CE09E6" w:rsidP="00096B35">
      <w:pPr>
        <w:pStyle w:val="Heading1"/>
        <w:jc w:val="both"/>
      </w:pPr>
      <w:r>
        <w:t>3</w:t>
      </w:r>
      <w:r w:rsidRPr="00CC27F5">
        <w:tab/>
      </w:r>
      <w:r>
        <w:t xml:space="preserve">Repetition Pattern in DL </w:t>
      </w:r>
    </w:p>
    <w:p w14:paraId="5AB7D776" w14:textId="7CD99370" w:rsidR="00BD403F" w:rsidRDefault="00BD403F" w:rsidP="00096B35">
      <w:pPr>
        <w:jc w:val="both"/>
      </w:pPr>
      <w:r>
        <w:t xml:space="preserve">The first aspect to consider when repetition based transmission is configured is that, in order to meet the stringent latency requirement of URLLC, the repetition window should be started at any TTI needed. </w:t>
      </w:r>
    </w:p>
    <w:p w14:paraId="7AA25445" w14:textId="0C989A3D" w:rsidR="00BD403F" w:rsidRPr="00BD403F" w:rsidRDefault="00BD403F" w:rsidP="00096B35">
      <w:pPr>
        <w:jc w:val="both"/>
        <w:rPr>
          <w:b/>
          <w:bCs/>
        </w:rPr>
      </w:pPr>
      <w:r w:rsidRPr="00BD403F">
        <w:rPr>
          <w:b/>
          <w:bCs/>
        </w:rPr>
        <w:t xml:space="preserve">Proposal 2: The initial transmission of a TB within the repetition window can take place over any valid DL TTI. </w:t>
      </w:r>
    </w:p>
    <w:p w14:paraId="678CFA03" w14:textId="3605B18B" w:rsidR="00CE09E6" w:rsidRDefault="00096B35" w:rsidP="00096B35">
      <w:pPr>
        <w:jc w:val="both"/>
      </w:pPr>
      <w:r>
        <w:t>Second, t</w:t>
      </w:r>
      <w:r w:rsidR="00602CB1" w:rsidRPr="00602CB1">
        <w:t xml:space="preserve">he DL layout for sTTI is designed such that no sTTI crosses the slot boundary. The main reason for this approach was to allow for better multiplexing of slot and subslot-PDSCH. </w:t>
      </w:r>
      <w:r w:rsidR="00602CB1">
        <w:t xml:space="preserve">When repetition is allowed, for the same reason, it is preferable to </w:t>
      </w:r>
      <w:r w:rsidR="001F07BE">
        <w:t>not allow the repetition window to cross the slot/subframe boundary in the DL. One example for this approach is shown in the figure below</w:t>
      </w:r>
      <w:r>
        <w:t>, where for a TB scheduled in sTTI1, two repetitions are possible, while for a TB scheduled in sTTI2, only a single transmission is possible, and so on.</w:t>
      </w:r>
    </w:p>
    <w:p w14:paraId="2C39BC7F" w14:textId="77777777" w:rsidR="001F07BE" w:rsidRDefault="001F07BE" w:rsidP="00096B35">
      <w:pPr>
        <w:keepNext/>
        <w:jc w:val="center"/>
      </w:pPr>
      <w:r w:rsidRPr="001F07BE">
        <w:rPr>
          <w:noProof/>
        </w:rPr>
        <w:lastRenderedPageBreak/>
        <w:drawing>
          <wp:inline distT="0" distB="0" distL="0" distR="0" wp14:anchorId="08497D51" wp14:editId="33E180AB">
            <wp:extent cx="4623164" cy="1057586"/>
            <wp:effectExtent l="0" t="0" r="6350" b="9525"/>
            <wp:docPr id="6" name="Picture 5">
              <a:extLst xmlns:a="http://schemas.openxmlformats.org/drawingml/2006/main">
                <a:ext uri="{FF2B5EF4-FFF2-40B4-BE49-F238E27FC236}">
                  <a16:creationId xmlns:a16="http://schemas.microsoft.com/office/drawing/2014/main" id="{58E7EA6E-5CC8-4E60-B7ED-7BED62441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8E7EA6E-5CC8-4E60-B7ED-7BED62441F4A}"/>
                        </a:ext>
                      </a:extLst>
                    </pic:cNvPr>
                    <pic:cNvPicPr>
                      <a:picLocks noChangeAspect="1"/>
                    </pic:cNvPicPr>
                  </pic:nvPicPr>
                  <pic:blipFill>
                    <a:blip r:embed="rId15"/>
                    <a:stretch>
                      <a:fillRect/>
                    </a:stretch>
                  </pic:blipFill>
                  <pic:spPr>
                    <a:xfrm>
                      <a:off x="0" y="0"/>
                      <a:ext cx="4642295" cy="1061962"/>
                    </a:xfrm>
                    <a:prstGeom prst="rect">
                      <a:avLst/>
                    </a:prstGeom>
                  </pic:spPr>
                </pic:pic>
              </a:graphicData>
            </a:graphic>
          </wp:inline>
        </w:drawing>
      </w:r>
    </w:p>
    <w:p w14:paraId="463515BB" w14:textId="08EB882B" w:rsidR="001F07BE" w:rsidRDefault="001F07BE" w:rsidP="00096B35">
      <w:pPr>
        <w:pStyle w:val="Caption"/>
      </w:pPr>
      <w:r>
        <w:t xml:space="preserve">Figure </w:t>
      </w:r>
      <w:r w:rsidR="00930654">
        <w:fldChar w:fldCharType="begin"/>
      </w:r>
      <w:r w:rsidR="00930654">
        <w:instrText xml:space="preserve"> SEQ Figure \* ARABIC </w:instrText>
      </w:r>
      <w:r w:rsidR="00930654">
        <w:fldChar w:fldCharType="separate"/>
      </w:r>
      <w:r w:rsidR="008E757D">
        <w:rPr>
          <w:noProof/>
        </w:rPr>
        <w:t>3</w:t>
      </w:r>
      <w:r w:rsidR="00930654">
        <w:rPr>
          <w:noProof/>
        </w:rPr>
        <w:fldChar w:fldCharType="end"/>
      </w:r>
      <w:r>
        <w:t>: DL repetition pattern assuming a 3-symbol PDCCH.</w:t>
      </w:r>
    </w:p>
    <w:p w14:paraId="23841C4A" w14:textId="77777777" w:rsidR="00CC12BC" w:rsidRDefault="00CC12BC" w:rsidP="00096B35">
      <w:pPr>
        <w:jc w:val="both"/>
      </w:pPr>
    </w:p>
    <w:p w14:paraId="676ED15D" w14:textId="79AD7449" w:rsidR="001F07BE" w:rsidRDefault="00CC12BC" w:rsidP="00096B35">
      <w:pPr>
        <w:jc w:val="both"/>
      </w:pPr>
      <w:r>
        <w:t xml:space="preserve">As can be seen from the figure above, the cost of providing better multiplexing across channels of different length is that </w:t>
      </w:r>
      <w:r w:rsidR="00096B35">
        <w:t>depending on the starting TTI index of the repetition window, the required number of repetitions may not be possible. However, since the DL repetition is grant-based, when needed, the eNB can schedule the same TB with another set of repetitions. As an example, for a TB that is initially scheduled over sTTI2, if 1 transmission is not sufficient, t</w:t>
      </w:r>
      <w:r w:rsidR="00D8630C">
        <w:t>he eNB can schedule the same TB again over sTTI3 with additional 3 repetitions.</w:t>
      </w:r>
    </w:p>
    <w:p w14:paraId="0E531D31" w14:textId="730549D8" w:rsidR="00D8630C" w:rsidRPr="00D8630C" w:rsidRDefault="00D8630C" w:rsidP="00096B35">
      <w:pPr>
        <w:jc w:val="both"/>
        <w:rPr>
          <w:b/>
          <w:bCs/>
        </w:rPr>
      </w:pPr>
      <w:r w:rsidRPr="00D8630C">
        <w:rPr>
          <w:b/>
          <w:bCs/>
        </w:rPr>
        <w:t>Proposal 3: In the DL, the repetition window should not cross the slot and subframe boundaries.</w:t>
      </w:r>
    </w:p>
    <w:p w14:paraId="2B16A80E" w14:textId="27CD4DA8" w:rsidR="00CE09E6" w:rsidRDefault="00CE09E6" w:rsidP="00CE09E6">
      <w:pPr>
        <w:pStyle w:val="Heading1"/>
        <w:jc w:val="both"/>
      </w:pPr>
      <w:r>
        <w:t>4</w:t>
      </w:r>
      <w:r w:rsidRPr="00CC27F5">
        <w:tab/>
      </w:r>
      <w:r w:rsidR="00167A3F">
        <w:t xml:space="preserve">Scheduling Repetition-Based PDSCH </w:t>
      </w:r>
      <w:r>
        <w:t xml:space="preserve"> </w:t>
      </w:r>
    </w:p>
    <w:p w14:paraId="0706A0B0" w14:textId="374358EC" w:rsidR="00CE09E6" w:rsidRDefault="00D8630C" w:rsidP="002D7891">
      <w:pPr>
        <w:jc w:val="both"/>
      </w:pPr>
      <w:r w:rsidRPr="002D7891">
        <w:t xml:space="preserve">Another question to answer is that how the repetition-based PDSCH is scheduled? In particular, should each TTI within the window have a dedicated DCI or should a single DCI within only the first TTI of the repetition window </w:t>
      </w:r>
      <w:r w:rsidR="002D7891">
        <w:t>carry PDCCH?</w:t>
      </w:r>
    </w:p>
    <w:p w14:paraId="2DB7205D" w14:textId="0139BF66" w:rsidR="002D7891" w:rsidRDefault="002D7891" w:rsidP="002D7891">
      <w:pPr>
        <w:jc w:val="both"/>
      </w:pPr>
      <w:r>
        <w:t>The first scheme is only useful if the UE has the capability to buffer the content of each TTI entirely even if DCI is not detected so that the PDSCH in different TTIs, i.e., the current and the past TTIs, can be combined. Otherwise, the repetition is not helpful. However, from the implementation point of view, this approach is considerably complicated. The second approach therefore is more preferable.</w:t>
      </w:r>
    </w:p>
    <w:p w14:paraId="1F704A41" w14:textId="0E7C6BA7" w:rsidR="002D7891" w:rsidRPr="002D7891" w:rsidRDefault="002D7891" w:rsidP="002D7891">
      <w:pPr>
        <w:jc w:val="both"/>
        <w:rPr>
          <w:b/>
          <w:bCs/>
        </w:rPr>
      </w:pPr>
      <w:r w:rsidRPr="002D7891">
        <w:rPr>
          <w:b/>
          <w:bCs/>
        </w:rPr>
        <w:t xml:space="preserve">Proposal 4: Only a single DCI included in the first TTI of the repetition window is used for scheduling. </w:t>
      </w:r>
    </w:p>
    <w:p w14:paraId="15C3C710" w14:textId="76949CB9" w:rsidR="00096B35" w:rsidRDefault="00096B35" w:rsidP="00096B35">
      <w:pPr>
        <w:pStyle w:val="Heading1"/>
        <w:jc w:val="both"/>
      </w:pPr>
      <w:r>
        <w:t>5</w:t>
      </w:r>
      <w:r w:rsidRPr="00CC27F5">
        <w:tab/>
      </w:r>
      <w:r>
        <w:t>UE Capab</w:t>
      </w:r>
      <w:r w:rsidR="005B663E">
        <w:t xml:space="preserve">ility/Configuration for Repetition-Based </w:t>
      </w:r>
      <w:r w:rsidR="00C452C6">
        <w:t>Reception</w:t>
      </w:r>
      <w:r>
        <w:t xml:space="preserve">  </w:t>
      </w:r>
    </w:p>
    <w:p w14:paraId="55AF66F8" w14:textId="004BDFE8" w:rsidR="00096B35" w:rsidRPr="00423E2B" w:rsidRDefault="00423E2B" w:rsidP="00BF2262">
      <w:pPr>
        <w:jc w:val="both"/>
      </w:pPr>
      <w:r w:rsidRPr="00423E2B">
        <w:t>Finally, it should be noted that the handling of the back-to-back reception of a TB associated with a given HARQ process is currently not supported in the specification. Hence, the repetition-based PDSCH is a new feature, and requires a separate UE capability signaling.</w:t>
      </w:r>
    </w:p>
    <w:p w14:paraId="79D9701D" w14:textId="00F45AD7" w:rsidR="00423E2B" w:rsidRDefault="00423E2B" w:rsidP="00BF2262">
      <w:pPr>
        <w:jc w:val="both"/>
        <w:rPr>
          <w:b/>
          <w:bCs/>
        </w:rPr>
      </w:pPr>
      <w:r>
        <w:rPr>
          <w:b/>
          <w:bCs/>
        </w:rPr>
        <w:t xml:space="preserve">Proposal 5: </w:t>
      </w:r>
      <w:r w:rsidR="005B663E">
        <w:rPr>
          <w:b/>
          <w:bCs/>
        </w:rPr>
        <w:t>Define a new UE capability signaling for supporting the repetition-based transmission in the DL.</w:t>
      </w:r>
    </w:p>
    <w:p w14:paraId="394DABBE" w14:textId="13732844" w:rsidR="005B663E" w:rsidRDefault="00055D13" w:rsidP="00BF2262">
      <w:pPr>
        <w:jc w:val="both"/>
      </w:pPr>
      <w:r w:rsidRPr="00C452C6">
        <w:t>A UE that is capable of supporting repetition-based</w:t>
      </w:r>
      <w:r w:rsidR="00C452C6" w:rsidRPr="00C452C6">
        <w:t xml:space="preserve"> reception can be configured to operate in this new mode.</w:t>
      </w:r>
      <w:r w:rsidRPr="00C452C6">
        <w:t xml:space="preserve"> </w:t>
      </w:r>
      <w:r w:rsidR="00C452C6">
        <w:t>Once a UE is configured, another issue to address is that whether the UE should support both sTTI and sTTI-based URLLC with repetition simultaneously. Given that the new DCI formats could be defined to enable the repetition-based reception, and in order to not redefine the number of BDs, search spaces, etc., the UE should only be expected to support one of the two operations.</w:t>
      </w:r>
    </w:p>
    <w:p w14:paraId="43DC6D27" w14:textId="514B5ED4" w:rsidR="00C452C6" w:rsidRPr="00C452C6" w:rsidRDefault="00C452C6" w:rsidP="00BF2262">
      <w:pPr>
        <w:jc w:val="both"/>
        <w:rPr>
          <w:b/>
          <w:bCs/>
        </w:rPr>
      </w:pPr>
      <w:r w:rsidRPr="00C452C6">
        <w:rPr>
          <w:b/>
          <w:bCs/>
        </w:rPr>
        <w:t xml:space="preserve">Proposal 6: </w:t>
      </w:r>
      <w:r>
        <w:rPr>
          <w:b/>
          <w:bCs/>
        </w:rPr>
        <w:t>Depending on the configuration, a</w:t>
      </w:r>
      <w:r w:rsidRPr="00C452C6">
        <w:rPr>
          <w:b/>
          <w:bCs/>
        </w:rPr>
        <w:t xml:space="preserve"> URLLC capable UE is expected to support either the sTTI operation or the sTTI-based repetition-based reception.</w:t>
      </w:r>
    </w:p>
    <w:p w14:paraId="70FA50CB" w14:textId="03BA5907" w:rsidR="003162B5" w:rsidRDefault="00096B35" w:rsidP="003162B5">
      <w:pPr>
        <w:pStyle w:val="Heading1"/>
        <w:jc w:val="both"/>
      </w:pPr>
      <w:r>
        <w:t>6</w:t>
      </w:r>
      <w:r w:rsidR="003162B5" w:rsidRPr="00E05A22">
        <w:tab/>
      </w:r>
      <w:r w:rsidR="00DB4896">
        <w:t>Conclusions</w:t>
      </w:r>
      <w:r w:rsidR="003162B5" w:rsidRPr="00E05A22">
        <w:t xml:space="preserve"> </w:t>
      </w:r>
    </w:p>
    <w:p w14:paraId="1EF61FE3" w14:textId="4308D424" w:rsidR="00BC091F" w:rsidRPr="00BC091F" w:rsidRDefault="00BC091F" w:rsidP="00BC091F">
      <w:pPr>
        <w:rPr>
          <w:b/>
          <w:bCs/>
        </w:rPr>
      </w:pPr>
      <w:r w:rsidRPr="00BC091F">
        <w:rPr>
          <w:b/>
          <w:bCs/>
        </w:rPr>
        <w:t>Observation 1: Even for MCS0, repetition is needed to meet the reliability requirement of LTE URLLC within the 1ms latency bound.</w:t>
      </w:r>
    </w:p>
    <w:p w14:paraId="4D7342C0" w14:textId="63AC9C48" w:rsidR="00E27D4A" w:rsidRPr="00E27D4A" w:rsidRDefault="00A43350" w:rsidP="00C80249">
      <w:pPr>
        <w:jc w:val="both"/>
        <w:rPr>
          <w:b/>
          <w:bCs/>
        </w:rPr>
      </w:pPr>
      <w:r w:rsidRPr="00A43350">
        <w:rPr>
          <w:b/>
          <w:bCs/>
        </w:rPr>
        <w:t xml:space="preserve">Proposal 1: </w:t>
      </w:r>
      <w:r w:rsidR="001D633C" w:rsidRPr="001D633C">
        <w:rPr>
          <w:b/>
          <w:bCs/>
        </w:rPr>
        <w:t>For DL URLLC, the repetition factor can be indicated dynamically via (s)DCI.</w:t>
      </w:r>
    </w:p>
    <w:p w14:paraId="2CD692EE" w14:textId="77777777" w:rsidR="00BD403F" w:rsidRPr="00BD403F" w:rsidRDefault="00BD403F" w:rsidP="00BD403F">
      <w:pPr>
        <w:jc w:val="both"/>
        <w:rPr>
          <w:b/>
          <w:bCs/>
        </w:rPr>
      </w:pPr>
      <w:r w:rsidRPr="00BD403F">
        <w:rPr>
          <w:b/>
          <w:bCs/>
        </w:rPr>
        <w:t xml:space="preserve">Proposal 2: The initial transmission of a TB within the repetition window can take place over any valid DL TTI. </w:t>
      </w:r>
    </w:p>
    <w:p w14:paraId="302FA52A" w14:textId="77777777" w:rsidR="00D8630C" w:rsidRPr="00D8630C" w:rsidRDefault="00D8630C" w:rsidP="00D8630C">
      <w:pPr>
        <w:jc w:val="both"/>
        <w:rPr>
          <w:b/>
          <w:bCs/>
        </w:rPr>
      </w:pPr>
      <w:r w:rsidRPr="00D8630C">
        <w:rPr>
          <w:b/>
          <w:bCs/>
        </w:rPr>
        <w:t>Proposal 3: In the DL, the repetition window should not cross the slot and subframe boundaries.</w:t>
      </w:r>
    </w:p>
    <w:p w14:paraId="7FE85269" w14:textId="77777777" w:rsidR="002D7891" w:rsidRPr="002D7891" w:rsidRDefault="002D7891" w:rsidP="002D7891">
      <w:pPr>
        <w:jc w:val="both"/>
        <w:rPr>
          <w:b/>
          <w:bCs/>
        </w:rPr>
      </w:pPr>
      <w:r w:rsidRPr="002D7891">
        <w:rPr>
          <w:b/>
          <w:bCs/>
        </w:rPr>
        <w:lastRenderedPageBreak/>
        <w:t xml:space="preserve">Proposal 4: Only a single DCI included in the first TTI of the repetition window is used for scheduling. </w:t>
      </w:r>
    </w:p>
    <w:p w14:paraId="02716286" w14:textId="77777777" w:rsidR="005B663E" w:rsidRPr="00E27D4A" w:rsidRDefault="005B663E" w:rsidP="005B663E">
      <w:pPr>
        <w:jc w:val="both"/>
        <w:rPr>
          <w:b/>
          <w:bCs/>
        </w:rPr>
      </w:pPr>
      <w:r>
        <w:rPr>
          <w:b/>
          <w:bCs/>
        </w:rPr>
        <w:t>Proposal 5: Define a new UE capability signaling for supporting the repetition-based transmission in the DL.</w:t>
      </w:r>
    </w:p>
    <w:p w14:paraId="47E1DC14" w14:textId="54B67D5C" w:rsidR="00C452C6" w:rsidRPr="00C452C6" w:rsidRDefault="00C452C6" w:rsidP="00C452C6">
      <w:pPr>
        <w:jc w:val="both"/>
        <w:rPr>
          <w:b/>
          <w:bCs/>
        </w:rPr>
      </w:pPr>
      <w:r w:rsidRPr="00C452C6">
        <w:rPr>
          <w:b/>
          <w:bCs/>
        </w:rPr>
        <w:t xml:space="preserve">Proposal 6: </w:t>
      </w:r>
      <w:r>
        <w:rPr>
          <w:b/>
          <w:bCs/>
        </w:rPr>
        <w:t>Depending on the configuration, a</w:t>
      </w:r>
      <w:r w:rsidRPr="00C452C6">
        <w:rPr>
          <w:b/>
          <w:bCs/>
        </w:rPr>
        <w:t xml:space="preserve"> URLLC capable UE is expected to support either the sTTI operation or the sTTI-based repetition-based reception.</w:t>
      </w:r>
    </w:p>
    <w:p w14:paraId="45E49E12" w14:textId="7FABB4E3" w:rsidR="00CA30BD" w:rsidRPr="00CA30BD" w:rsidRDefault="00CA30BD" w:rsidP="00CA30BD">
      <w:pPr>
        <w:jc w:val="both"/>
        <w:rPr>
          <w:b/>
          <w:bCs/>
          <w:lang w:val="en-GB"/>
        </w:rPr>
      </w:pPr>
    </w:p>
    <w:p w14:paraId="561D75A8" w14:textId="7927A868" w:rsidR="005E4319" w:rsidRPr="005E4319" w:rsidRDefault="005E4319" w:rsidP="005E4319">
      <w:pPr>
        <w:jc w:val="both"/>
        <w:rPr>
          <w:b/>
          <w:bCs/>
        </w:rPr>
      </w:pPr>
    </w:p>
    <w:p w14:paraId="0117461B" w14:textId="3F040F9B" w:rsidR="00C77113" w:rsidRPr="00526653" w:rsidRDefault="00C77113" w:rsidP="00B10276">
      <w:pPr>
        <w:jc w:val="both"/>
        <w:rPr>
          <w:lang w:val="en-GB"/>
        </w:rPr>
      </w:pPr>
    </w:p>
    <w:sectPr w:rsidR="00C77113" w:rsidRPr="00526653"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85A7B" w14:textId="77777777" w:rsidR="00930654" w:rsidRDefault="00930654">
      <w:r>
        <w:separator/>
      </w:r>
    </w:p>
  </w:endnote>
  <w:endnote w:type="continuationSeparator" w:id="0">
    <w:p w14:paraId="2A42E3C0" w14:textId="77777777" w:rsidR="00930654" w:rsidRDefault="00930654">
      <w:r>
        <w:continuationSeparator/>
      </w:r>
    </w:p>
  </w:endnote>
  <w:endnote w:type="continuationNotice" w:id="1">
    <w:p w14:paraId="11C12A02" w14:textId="77777777" w:rsidR="00930654" w:rsidRDefault="00930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C56F796"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5F8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5F8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51263" w14:textId="77777777" w:rsidR="00930654" w:rsidRDefault="00930654">
      <w:r>
        <w:separator/>
      </w:r>
    </w:p>
  </w:footnote>
  <w:footnote w:type="continuationSeparator" w:id="0">
    <w:p w14:paraId="6F0B134C" w14:textId="77777777" w:rsidR="00930654" w:rsidRDefault="00930654">
      <w:r>
        <w:continuationSeparator/>
      </w:r>
    </w:p>
  </w:footnote>
  <w:footnote w:type="continuationNotice" w:id="1">
    <w:p w14:paraId="19F49096" w14:textId="77777777" w:rsidR="00930654" w:rsidRDefault="00930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A0130"/>
    <w:multiLevelType w:val="hybridMultilevel"/>
    <w:tmpl w:val="6F64CFC2"/>
    <w:lvl w:ilvl="0" w:tplc="D18ED290">
      <w:start w:val="1"/>
      <w:numFmt w:val="bullet"/>
      <w:lvlText w:val="•"/>
      <w:lvlJc w:val="left"/>
      <w:pPr>
        <w:tabs>
          <w:tab w:val="num" w:pos="720"/>
        </w:tabs>
        <w:ind w:left="720" w:hanging="360"/>
      </w:pPr>
      <w:rPr>
        <w:rFonts w:ascii="Arial" w:hAnsi="Arial" w:cs="Times New Roman" w:hint="default"/>
      </w:rPr>
    </w:lvl>
    <w:lvl w:ilvl="1" w:tplc="5D1C7F6C">
      <w:numFmt w:val="bullet"/>
      <w:lvlText w:val="–"/>
      <w:lvlJc w:val="left"/>
      <w:pPr>
        <w:tabs>
          <w:tab w:val="num" w:pos="1440"/>
        </w:tabs>
        <w:ind w:left="1440" w:hanging="360"/>
      </w:pPr>
      <w:rPr>
        <w:rFonts w:ascii="Arial" w:hAnsi="Arial" w:cs="Times New Roman" w:hint="default"/>
      </w:rPr>
    </w:lvl>
    <w:lvl w:ilvl="2" w:tplc="F8FA3D94">
      <w:numFmt w:val="bullet"/>
      <w:lvlText w:val="•"/>
      <w:lvlJc w:val="left"/>
      <w:pPr>
        <w:tabs>
          <w:tab w:val="num" w:pos="2160"/>
        </w:tabs>
        <w:ind w:left="2160" w:hanging="360"/>
      </w:pPr>
      <w:rPr>
        <w:rFonts w:ascii="Arial" w:hAnsi="Arial" w:cs="Times New Roman" w:hint="default"/>
      </w:rPr>
    </w:lvl>
    <w:lvl w:ilvl="3" w:tplc="9FE6D376">
      <w:start w:val="1"/>
      <w:numFmt w:val="bullet"/>
      <w:lvlText w:val="•"/>
      <w:lvlJc w:val="left"/>
      <w:pPr>
        <w:tabs>
          <w:tab w:val="num" w:pos="2880"/>
        </w:tabs>
        <w:ind w:left="2880" w:hanging="360"/>
      </w:pPr>
      <w:rPr>
        <w:rFonts w:ascii="Arial" w:hAnsi="Arial" w:cs="Times New Roman" w:hint="default"/>
      </w:rPr>
    </w:lvl>
    <w:lvl w:ilvl="4" w:tplc="F4B8F0C8">
      <w:start w:val="1"/>
      <w:numFmt w:val="bullet"/>
      <w:lvlText w:val="•"/>
      <w:lvlJc w:val="left"/>
      <w:pPr>
        <w:tabs>
          <w:tab w:val="num" w:pos="3600"/>
        </w:tabs>
        <w:ind w:left="3600" w:hanging="360"/>
      </w:pPr>
      <w:rPr>
        <w:rFonts w:ascii="Arial" w:hAnsi="Arial" w:cs="Times New Roman" w:hint="default"/>
      </w:rPr>
    </w:lvl>
    <w:lvl w:ilvl="5" w:tplc="E5267C26">
      <w:start w:val="1"/>
      <w:numFmt w:val="bullet"/>
      <w:lvlText w:val="•"/>
      <w:lvlJc w:val="left"/>
      <w:pPr>
        <w:tabs>
          <w:tab w:val="num" w:pos="4320"/>
        </w:tabs>
        <w:ind w:left="4320" w:hanging="360"/>
      </w:pPr>
      <w:rPr>
        <w:rFonts w:ascii="Arial" w:hAnsi="Arial" w:cs="Times New Roman" w:hint="default"/>
      </w:rPr>
    </w:lvl>
    <w:lvl w:ilvl="6" w:tplc="31FCE530">
      <w:start w:val="1"/>
      <w:numFmt w:val="bullet"/>
      <w:lvlText w:val="•"/>
      <w:lvlJc w:val="left"/>
      <w:pPr>
        <w:tabs>
          <w:tab w:val="num" w:pos="5040"/>
        </w:tabs>
        <w:ind w:left="5040" w:hanging="360"/>
      </w:pPr>
      <w:rPr>
        <w:rFonts w:ascii="Arial" w:hAnsi="Arial" w:cs="Times New Roman" w:hint="default"/>
      </w:rPr>
    </w:lvl>
    <w:lvl w:ilvl="7" w:tplc="F210EA46">
      <w:start w:val="1"/>
      <w:numFmt w:val="bullet"/>
      <w:lvlText w:val="•"/>
      <w:lvlJc w:val="left"/>
      <w:pPr>
        <w:tabs>
          <w:tab w:val="num" w:pos="5760"/>
        </w:tabs>
        <w:ind w:left="5760" w:hanging="360"/>
      </w:pPr>
      <w:rPr>
        <w:rFonts w:ascii="Arial" w:hAnsi="Arial" w:cs="Times New Roman" w:hint="default"/>
      </w:rPr>
    </w:lvl>
    <w:lvl w:ilvl="8" w:tplc="FC80475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465BF1"/>
    <w:multiLevelType w:val="hybridMultilevel"/>
    <w:tmpl w:val="100E2A0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080A83"/>
    <w:multiLevelType w:val="hybridMultilevel"/>
    <w:tmpl w:val="EDAA4616"/>
    <w:lvl w:ilvl="0" w:tplc="4CACCC82">
      <w:start w:val="1"/>
      <w:numFmt w:val="bullet"/>
      <w:lvlText w:val="•"/>
      <w:lvlJc w:val="left"/>
      <w:pPr>
        <w:tabs>
          <w:tab w:val="num" w:pos="648"/>
        </w:tabs>
        <w:ind w:left="648" w:hanging="360"/>
      </w:pPr>
      <w:rPr>
        <w:rFonts w:ascii="Arial" w:hAnsi="Arial" w:hint="default"/>
      </w:rPr>
    </w:lvl>
    <w:lvl w:ilvl="1" w:tplc="38C0958C">
      <w:numFmt w:val="bullet"/>
      <w:lvlText w:val="◦"/>
      <w:lvlJc w:val="left"/>
      <w:pPr>
        <w:tabs>
          <w:tab w:val="num" w:pos="1368"/>
        </w:tabs>
        <w:ind w:left="1368" w:hanging="360"/>
      </w:pPr>
      <w:rPr>
        <w:rFonts w:ascii="Microsoft Sans Serif" w:hAnsi="Microsoft Sans Serif" w:hint="default"/>
      </w:rPr>
    </w:lvl>
    <w:lvl w:ilvl="2" w:tplc="C1243252">
      <w:numFmt w:val="bullet"/>
      <w:lvlText w:val="•"/>
      <w:lvlJc w:val="left"/>
      <w:pPr>
        <w:tabs>
          <w:tab w:val="num" w:pos="2088"/>
        </w:tabs>
        <w:ind w:left="2088" w:hanging="360"/>
      </w:pPr>
      <w:rPr>
        <w:rFonts w:ascii="Microsoft Sans Serif" w:hAnsi="Microsoft Sans Serif" w:hint="default"/>
      </w:rPr>
    </w:lvl>
    <w:lvl w:ilvl="3" w:tplc="E19235EA">
      <w:numFmt w:val="bullet"/>
      <w:lvlText w:val="◦"/>
      <w:lvlJc w:val="left"/>
      <w:pPr>
        <w:tabs>
          <w:tab w:val="num" w:pos="2808"/>
        </w:tabs>
        <w:ind w:left="2808" w:hanging="360"/>
      </w:pPr>
      <w:rPr>
        <w:rFonts w:ascii="Microsoft Sans Serif" w:hAnsi="Microsoft Sans Serif" w:hint="default"/>
      </w:rPr>
    </w:lvl>
    <w:lvl w:ilvl="4" w:tplc="AE100F7E" w:tentative="1">
      <w:start w:val="1"/>
      <w:numFmt w:val="bullet"/>
      <w:lvlText w:val="•"/>
      <w:lvlJc w:val="left"/>
      <w:pPr>
        <w:tabs>
          <w:tab w:val="num" w:pos="3528"/>
        </w:tabs>
        <w:ind w:left="3528" w:hanging="360"/>
      </w:pPr>
      <w:rPr>
        <w:rFonts w:ascii="Arial" w:hAnsi="Arial" w:hint="default"/>
      </w:rPr>
    </w:lvl>
    <w:lvl w:ilvl="5" w:tplc="A522A72C" w:tentative="1">
      <w:start w:val="1"/>
      <w:numFmt w:val="bullet"/>
      <w:lvlText w:val="•"/>
      <w:lvlJc w:val="left"/>
      <w:pPr>
        <w:tabs>
          <w:tab w:val="num" w:pos="4248"/>
        </w:tabs>
        <w:ind w:left="4248" w:hanging="360"/>
      </w:pPr>
      <w:rPr>
        <w:rFonts w:ascii="Arial" w:hAnsi="Arial" w:hint="default"/>
      </w:rPr>
    </w:lvl>
    <w:lvl w:ilvl="6" w:tplc="C2AE1172" w:tentative="1">
      <w:start w:val="1"/>
      <w:numFmt w:val="bullet"/>
      <w:lvlText w:val="•"/>
      <w:lvlJc w:val="left"/>
      <w:pPr>
        <w:tabs>
          <w:tab w:val="num" w:pos="4968"/>
        </w:tabs>
        <w:ind w:left="4968" w:hanging="360"/>
      </w:pPr>
      <w:rPr>
        <w:rFonts w:ascii="Arial" w:hAnsi="Arial" w:hint="default"/>
      </w:rPr>
    </w:lvl>
    <w:lvl w:ilvl="7" w:tplc="9D4867BC" w:tentative="1">
      <w:start w:val="1"/>
      <w:numFmt w:val="bullet"/>
      <w:lvlText w:val="•"/>
      <w:lvlJc w:val="left"/>
      <w:pPr>
        <w:tabs>
          <w:tab w:val="num" w:pos="5688"/>
        </w:tabs>
        <w:ind w:left="5688" w:hanging="360"/>
      </w:pPr>
      <w:rPr>
        <w:rFonts w:ascii="Arial" w:hAnsi="Arial" w:hint="default"/>
      </w:rPr>
    </w:lvl>
    <w:lvl w:ilvl="8" w:tplc="29BA4382" w:tentative="1">
      <w:start w:val="1"/>
      <w:numFmt w:val="bullet"/>
      <w:lvlText w:val="•"/>
      <w:lvlJc w:val="left"/>
      <w:pPr>
        <w:tabs>
          <w:tab w:val="num" w:pos="6408"/>
        </w:tabs>
        <w:ind w:left="6408" w:hanging="360"/>
      </w:pPr>
      <w:rPr>
        <w:rFonts w:ascii="Arial" w:hAnsi="Arial" w:hint="default"/>
      </w:rPr>
    </w:lvl>
  </w:abstractNum>
  <w:num w:numId="1">
    <w:abstractNumId w:val="1"/>
  </w:num>
  <w:num w:numId="2">
    <w:abstractNumId w:val="0"/>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5D13"/>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6B35"/>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5C3"/>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DB4"/>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A3F"/>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33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7BE"/>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D7891"/>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23B"/>
    <w:rsid w:val="00343E84"/>
    <w:rsid w:val="003444EB"/>
    <w:rsid w:val="00344778"/>
    <w:rsid w:val="00344F78"/>
    <w:rsid w:val="0034511B"/>
    <w:rsid w:val="00345740"/>
    <w:rsid w:val="003504EC"/>
    <w:rsid w:val="003509B5"/>
    <w:rsid w:val="00350EF6"/>
    <w:rsid w:val="00351118"/>
    <w:rsid w:val="00351CBC"/>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6EF5"/>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291D"/>
    <w:rsid w:val="003F34A4"/>
    <w:rsid w:val="003F3978"/>
    <w:rsid w:val="003F3B26"/>
    <w:rsid w:val="003F44EC"/>
    <w:rsid w:val="003F4933"/>
    <w:rsid w:val="003F536B"/>
    <w:rsid w:val="003F586D"/>
    <w:rsid w:val="003F6853"/>
    <w:rsid w:val="003F6ADF"/>
    <w:rsid w:val="003F71D0"/>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E2B"/>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C6E"/>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36C8E"/>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63E"/>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B1"/>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D45"/>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684"/>
    <w:rsid w:val="007347C0"/>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B7EA8"/>
    <w:rsid w:val="008C0743"/>
    <w:rsid w:val="008C084B"/>
    <w:rsid w:val="008C0B38"/>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57D"/>
    <w:rsid w:val="008E76F3"/>
    <w:rsid w:val="008E7A59"/>
    <w:rsid w:val="008E7FDA"/>
    <w:rsid w:val="008F01AB"/>
    <w:rsid w:val="008F191C"/>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5AE"/>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654"/>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29D2"/>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50"/>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C7DEC"/>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3764A"/>
    <w:rsid w:val="00B40294"/>
    <w:rsid w:val="00B40D73"/>
    <w:rsid w:val="00B411BF"/>
    <w:rsid w:val="00B415C1"/>
    <w:rsid w:val="00B426FE"/>
    <w:rsid w:val="00B4299D"/>
    <w:rsid w:val="00B42E0D"/>
    <w:rsid w:val="00B42F99"/>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3C28"/>
    <w:rsid w:val="00B74A0D"/>
    <w:rsid w:val="00B74FBD"/>
    <w:rsid w:val="00B75667"/>
    <w:rsid w:val="00B75780"/>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91F"/>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03F"/>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52C6"/>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77B9A"/>
    <w:rsid w:val="00C80249"/>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2BC"/>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9E6"/>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30C"/>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27D4A"/>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A69"/>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5F87"/>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572959">
      <w:bodyDiv w:val="1"/>
      <w:marLeft w:val="0"/>
      <w:marRight w:val="0"/>
      <w:marTop w:val="0"/>
      <w:marBottom w:val="0"/>
      <w:divBdr>
        <w:top w:val="none" w:sz="0" w:space="0" w:color="auto"/>
        <w:left w:val="none" w:sz="0" w:space="0" w:color="auto"/>
        <w:bottom w:val="none" w:sz="0" w:space="0" w:color="auto"/>
        <w:right w:val="none" w:sz="0" w:space="0" w:color="auto"/>
      </w:divBdr>
      <w:divsChild>
        <w:div w:id="142167172">
          <w:marLeft w:val="274"/>
          <w:marRight w:val="0"/>
          <w:marTop w:val="240"/>
          <w:marBottom w:val="0"/>
          <w:divBdr>
            <w:top w:val="none" w:sz="0" w:space="0" w:color="auto"/>
            <w:left w:val="none" w:sz="0" w:space="0" w:color="auto"/>
            <w:bottom w:val="none" w:sz="0" w:space="0" w:color="auto"/>
            <w:right w:val="none" w:sz="0" w:space="0" w:color="auto"/>
          </w:divBdr>
        </w:div>
        <w:div w:id="998996211">
          <w:marLeft w:val="533"/>
          <w:marRight w:val="0"/>
          <w:marTop w:val="0"/>
          <w:marBottom w:val="0"/>
          <w:divBdr>
            <w:top w:val="none" w:sz="0" w:space="0" w:color="auto"/>
            <w:left w:val="none" w:sz="0" w:space="0" w:color="auto"/>
            <w:bottom w:val="none" w:sz="0" w:space="0" w:color="auto"/>
            <w:right w:val="none" w:sz="0" w:space="0" w:color="auto"/>
          </w:divBdr>
        </w:div>
        <w:div w:id="1489439070">
          <w:marLeft w:val="533"/>
          <w:marRight w:val="0"/>
          <w:marTop w:val="0"/>
          <w:marBottom w:val="0"/>
          <w:divBdr>
            <w:top w:val="none" w:sz="0" w:space="0" w:color="auto"/>
            <w:left w:val="none" w:sz="0" w:space="0" w:color="auto"/>
            <w:bottom w:val="none" w:sz="0" w:space="0" w:color="auto"/>
            <w:right w:val="none" w:sz="0" w:space="0" w:color="auto"/>
          </w:divBdr>
        </w:div>
        <w:div w:id="1129011437">
          <w:marLeft w:val="806"/>
          <w:marRight w:val="0"/>
          <w:marTop w:val="0"/>
          <w:marBottom w:val="0"/>
          <w:divBdr>
            <w:top w:val="none" w:sz="0" w:space="0" w:color="auto"/>
            <w:left w:val="none" w:sz="0" w:space="0" w:color="auto"/>
            <w:bottom w:val="none" w:sz="0" w:space="0" w:color="auto"/>
            <w:right w:val="none" w:sz="0" w:space="0" w:color="auto"/>
          </w:divBdr>
        </w:div>
        <w:div w:id="990905673">
          <w:marLeft w:val="1080"/>
          <w:marRight w:val="0"/>
          <w:marTop w:val="0"/>
          <w:marBottom w:val="0"/>
          <w:divBdr>
            <w:top w:val="none" w:sz="0" w:space="0" w:color="auto"/>
            <w:left w:val="none" w:sz="0" w:space="0" w:color="auto"/>
            <w:bottom w:val="none" w:sz="0" w:space="0" w:color="auto"/>
            <w:right w:val="none" w:sz="0" w:space="0" w:color="auto"/>
          </w:divBdr>
        </w:div>
        <w:div w:id="1211914073">
          <w:marLeft w:val="1080"/>
          <w:marRight w:val="0"/>
          <w:marTop w:val="0"/>
          <w:marBottom w:val="0"/>
          <w:divBdr>
            <w:top w:val="none" w:sz="0" w:space="0" w:color="auto"/>
            <w:left w:val="none" w:sz="0" w:space="0" w:color="auto"/>
            <w:bottom w:val="none" w:sz="0" w:space="0" w:color="auto"/>
            <w:right w:val="none" w:sz="0" w:space="0" w:color="auto"/>
          </w:divBdr>
        </w:div>
        <w:div w:id="1759787061">
          <w:marLeft w:val="1080"/>
          <w:marRight w:val="0"/>
          <w:marTop w:val="0"/>
          <w:marBottom w:val="0"/>
          <w:divBdr>
            <w:top w:val="none" w:sz="0" w:space="0" w:color="auto"/>
            <w:left w:val="none" w:sz="0" w:space="0" w:color="auto"/>
            <w:bottom w:val="none" w:sz="0" w:space="0" w:color="auto"/>
            <w:right w:val="none" w:sz="0" w:space="0" w:color="auto"/>
          </w:divBdr>
        </w:div>
        <w:div w:id="1708525772">
          <w:marLeft w:val="1080"/>
          <w:marRight w:val="0"/>
          <w:marTop w:val="0"/>
          <w:marBottom w:val="0"/>
          <w:divBdr>
            <w:top w:val="none" w:sz="0" w:space="0" w:color="auto"/>
            <w:left w:val="none" w:sz="0" w:space="0" w:color="auto"/>
            <w:bottom w:val="none" w:sz="0" w:space="0" w:color="auto"/>
            <w:right w:val="none" w:sz="0" w:space="0" w:color="auto"/>
          </w:divBdr>
        </w:div>
        <w:div w:id="1530608496">
          <w:marLeft w:val="806"/>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3506600">
      <w:bodyDiv w:val="1"/>
      <w:marLeft w:val="0"/>
      <w:marRight w:val="0"/>
      <w:marTop w:val="0"/>
      <w:marBottom w:val="0"/>
      <w:divBdr>
        <w:top w:val="none" w:sz="0" w:space="0" w:color="auto"/>
        <w:left w:val="none" w:sz="0" w:space="0" w:color="auto"/>
        <w:bottom w:val="none" w:sz="0" w:space="0" w:color="auto"/>
        <w:right w:val="none" w:sz="0" w:space="0" w:color="auto"/>
      </w:divBdr>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C83802E-A3EE-4E7A-AC1A-AB6357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5</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16</cp:revision>
  <cp:lastPrinted>2010-10-04T23:31:00Z</cp:lastPrinted>
  <dcterms:created xsi:type="dcterms:W3CDTF">2018-04-06T06:17:00Z</dcterms:created>
  <dcterms:modified xsi:type="dcterms:W3CDTF">2018-04-11T17:38:00Z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